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</w:t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  <w:spacing w:val="-12"/>
        </w:rPr>
      </w:pPr>
      <w:r>
        <w:rPr>
          <w:rFonts w:hint="eastAsia" w:ascii="Times New Roman" w:hAnsi="Times New Roman"/>
          <w:spacing w:val="-12"/>
        </w:rPr>
        <w:t>省政协各专门委员会所联系界别委员参训配额表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22"/>
        <w:gridCol w:w="2786"/>
        <w:gridCol w:w="1074"/>
        <w:gridCol w:w="11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99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提案委员会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民盟界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共青团青联界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文化文史和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学习委员会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民进界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文艺界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社科界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新闻出版界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经济委员会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工商联界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经济界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农业和农村</w:t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民建界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农业和农村界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科学技术委员会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九三学社界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科协界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科技界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人口资源环境</w:t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农工党界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妇联界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环境资源界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教卫体委员会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无党派人士界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教育界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体育界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医卫界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社会法制和民族</w:t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宗教委员会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民革界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总工会界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福利保障界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少数民族界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宗教界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港澳台侨和</w:t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外事委员会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致公党界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侨联界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台联界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对外友好界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特邀人士界（港澳）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委员工作委员会</w:t>
            </w: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中共界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4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特邀人士界（二组、三组）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8" w:type="dxa"/>
            <w:gridSpan w:val="3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120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99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备注：“拟请人数”栏不包含省政协主席会议成员，省政协副秘书长，省政协机关领导班子成员，以及已参加第二期、第三期委员专题学习培训班的委员。</w:t>
      </w: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提案委员会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318"/>
        <w:gridCol w:w="2208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899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民盟界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共青团青联界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ind w:firstLine="680"/>
        <w:rPr>
          <w:rFonts w:ascii="Times New Roman" w:hAnsi="Times New Roman"/>
        </w:rPr>
      </w:pP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文化文史和学习委员会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466"/>
        <w:gridCol w:w="1466"/>
        <w:gridCol w:w="1466"/>
        <w:gridCol w:w="1466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53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民进界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文艺界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社科界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新闻出版界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ind w:firstLine="680"/>
        <w:rPr>
          <w:rFonts w:ascii="Times New Roman" w:hAnsi="Times New Roman"/>
        </w:rPr>
      </w:pP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经济委员会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144"/>
        <w:gridCol w:w="2144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2079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工商联界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经济界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ind w:firstLine="680"/>
        <w:rPr>
          <w:rFonts w:ascii="Times New Roman" w:hAnsi="Times New Roman"/>
        </w:rPr>
      </w:pP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农业和农村委员会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188"/>
        <w:gridCol w:w="301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53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民建界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农业和农村界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ind w:firstLine="680"/>
        <w:rPr>
          <w:rFonts w:ascii="Times New Roman" w:hAnsi="Times New Roman"/>
        </w:rPr>
      </w:pP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科学技术委员会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291"/>
        <w:gridCol w:w="1540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12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九三学社界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科协界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科技界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2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人口资源环境委员会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818"/>
        <w:gridCol w:w="1700"/>
        <w:gridCol w:w="179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30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农工党界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妇联界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环境资源界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ind w:firstLine="680"/>
        <w:rPr>
          <w:rFonts w:ascii="Times New Roman" w:hAnsi="Times New Roman"/>
        </w:rPr>
      </w:pP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教卫体委员会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59"/>
        <w:gridCol w:w="1265"/>
        <w:gridCol w:w="1521"/>
        <w:gridCol w:w="1521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80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无党派人士界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教育界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体育界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医卫界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0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ind w:firstLine="680"/>
        <w:rPr>
          <w:rFonts w:ascii="Times New Roman" w:hAnsi="Times New Roman"/>
        </w:rPr>
      </w:pP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社会法制和民族宗教委员会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31"/>
        <w:gridCol w:w="1175"/>
        <w:gridCol w:w="1368"/>
        <w:gridCol w:w="1368"/>
        <w:gridCol w:w="1175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91" w:type="dxa"/>
            <w:tcBorders>
              <w:tl2br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民革界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总工会界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福利保障界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少数民族界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宗教界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109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ind w:firstLine="680"/>
        <w:rPr>
          <w:rFonts w:ascii="Times New Roman" w:hAnsi="Times New Roman"/>
        </w:rPr>
      </w:pP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港澳台侨和外事委员会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75"/>
        <w:gridCol w:w="1160"/>
        <w:gridCol w:w="922"/>
        <w:gridCol w:w="1380"/>
        <w:gridCol w:w="1612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66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致公党界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侨联界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台联界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对外友好界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特邀人士界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（港澳）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pPr>
        <w:ind w:firstLine="680"/>
        <w:rPr>
          <w:rFonts w:ascii="Times New Roman" w:hAnsi="Times New Roman"/>
        </w:rPr>
      </w:pPr>
    </w:p>
    <w:p>
      <w:pPr>
        <w:widowControl/>
        <w:overflowPunct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680"/>
        <w:rPr>
          <w:rFonts w:ascii="Times New Roman" w:hAnsi="Times New Roman"/>
        </w:rPr>
      </w:pP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</w:rPr>
        <w:t>委员工作委员会</w:t>
      </w:r>
    </w:p>
    <w:p>
      <w:pPr>
        <w:ind w:firstLine="680"/>
        <w:rPr>
          <w:rFonts w:ascii="Times New Roman" w:hAnsi="Times New Roma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63"/>
        <w:gridCol w:w="4012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63" w:type="dxa"/>
            <w:tcBorders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440" w:firstLineChars="0"/>
              <w:jc w:val="righ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界别</w:t>
            </w:r>
          </w:p>
          <w:p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中共界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特邀人士界（二组、三组）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拟请人数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第五期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第七期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第八期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第九期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第十期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4"/>
                <w:szCs w:val="24"/>
              </w:rPr>
              <w:t>第十一期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9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ind w:left="840" w:hanging="840" w:hangingChars="300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备注：届内共举办11期学习培训，其中第一期是新任委员学习培训班，第二至十一期是专题学习培训班。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jM0NzczNzgwYTA0OTA5YmJkMjM1YzMwMmYxMjAifQ=="/>
  </w:docVars>
  <w:rsids>
    <w:rsidRoot w:val="19396A28"/>
    <w:rsid w:val="1939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2024-04-19T10:15:00Z</dcterms:created>
  <dc:creator>张迪</dc:creator>
  <cp:lastModifiedBy>张迪</cp:lastModifiedBy>
  <dcterms:modified xsi:type="dcterms:W3CDTF">2024-04-19T10:15:15Z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85F7DF61401743569F572C5CE93BCD76_11</vt:lpwstr>
  </property>
</Properties>
</file>