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8F" w:rsidRPr="00AC6B9E" w:rsidRDefault="00FE45DA" w:rsidP="00C84062">
      <w:pPr>
        <w:spacing w:line="580" w:lineRule="exact"/>
        <w:rPr>
          <w:rFonts w:ascii="Times New Roman" w:eastAsia="方正黑体_GBK" w:hAnsi="Times New Roman" w:cs="Times New Roman"/>
          <w:color w:val="000000" w:themeColor="text1"/>
          <w:sz w:val="32"/>
          <w:szCs w:val="32"/>
        </w:rPr>
      </w:pPr>
      <w:bookmarkStart w:id="0" w:name="_GoBack"/>
      <w:bookmarkEnd w:id="0"/>
      <w:r w:rsidRPr="00AC6B9E">
        <w:rPr>
          <w:rFonts w:ascii="Times New Roman" w:eastAsia="方正黑体_GBK" w:hAnsi="Times New Roman" w:cs="Times New Roman"/>
          <w:color w:val="000000" w:themeColor="text1"/>
          <w:sz w:val="32"/>
          <w:szCs w:val="32"/>
        </w:rPr>
        <w:t>附件</w:t>
      </w:r>
    </w:p>
    <w:p w:rsidR="00FE45DA" w:rsidRPr="00AC6B9E" w:rsidRDefault="00FE45DA" w:rsidP="00116764">
      <w:pPr>
        <w:spacing w:line="320" w:lineRule="exact"/>
        <w:rPr>
          <w:rFonts w:ascii="Times New Roman" w:hAnsi="Times New Roman" w:cs="Times New Roman"/>
          <w:color w:val="000000" w:themeColor="text1"/>
        </w:rPr>
      </w:pPr>
    </w:p>
    <w:p w:rsidR="00FE45DA" w:rsidRDefault="00AC6B9E" w:rsidP="007F780C">
      <w:pPr>
        <w:spacing w:line="580" w:lineRule="exact"/>
        <w:jc w:val="center"/>
        <w:rPr>
          <w:rFonts w:ascii="Times New Roman" w:eastAsia="方正小标宋_GBK" w:hAnsi="Times New Roman" w:cs="Times New Roman"/>
          <w:color w:val="000000" w:themeColor="text1"/>
          <w:sz w:val="44"/>
          <w:szCs w:val="44"/>
        </w:rPr>
      </w:pPr>
      <w:r w:rsidRPr="00AC6B9E">
        <w:rPr>
          <w:rFonts w:ascii="Times New Roman" w:eastAsia="方正小标宋_GBK" w:hAnsi="Times New Roman" w:cs="Times New Roman"/>
          <w:color w:val="000000" w:themeColor="text1"/>
          <w:sz w:val="44"/>
          <w:szCs w:val="44"/>
        </w:rPr>
        <w:t>2021</w:t>
      </w:r>
      <w:r w:rsidRPr="00AC6B9E">
        <w:rPr>
          <w:rFonts w:ascii="Times New Roman" w:eastAsia="方正小标宋_GBK" w:hAnsi="Times New Roman" w:cs="Times New Roman"/>
          <w:color w:val="000000" w:themeColor="text1"/>
          <w:sz w:val="44"/>
          <w:szCs w:val="44"/>
        </w:rPr>
        <w:t>年度政协理论与实践研究课题</w:t>
      </w:r>
      <w:r w:rsidR="007F780C" w:rsidRPr="00AC6B9E">
        <w:rPr>
          <w:rFonts w:ascii="Times New Roman" w:eastAsia="方正小标宋_GBK" w:hAnsi="Times New Roman" w:cs="Times New Roman"/>
          <w:color w:val="000000" w:themeColor="text1"/>
          <w:sz w:val="44"/>
          <w:szCs w:val="44"/>
        </w:rPr>
        <w:t>立项名单</w:t>
      </w:r>
    </w:p>
    <w:tbl>
      <w:tblPr>
        <w:tblW w:w="14029" w:type="dxa"/>
        <w:jc w:val="center"/>
        <w:tblLook w:val="04A0" w:firstRow="1" w:lastRow="0" w:firstColumn="1" w:lastColumn="0" w:noHBand="0" w:noVBand="1"/>
      </w:tblPr>
      <w:tblGrid>
        <w:gridCol w:w="846"/>
        <w:gridCol w:w="984"/>
        <w:gridCol w:w="8364"/>
        <w:gridCol w:w="2268"/>
        <w:gridCol w:w="1701"/>
      </w:tblGrid>
      <w:tr w:rsidR="00BC3791" w:rsidRPr="00AC6B9E" w:rsidTr="00BC3791">
        <w:trPr>
          <w:trHeight w:hRule="exact" w:val="657"/>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黑体_GBK" w:eastAsia="方正黑体_GBK" w:hAnsi="方正黑体_GBK" w:cs="宋体"/>
                <w:color w:val="000000"/>
              </w:rPr>
            </w:pPr>
            <w:r w:rsidRPr="00AC6B9E">
              <w:rPr>
                <w:rFonts w:ascii="方正黑体_GBK" w:eastAsia="方正黑体_GBK" w:hAnsi="方正黑体_GBK" w:cs="宋体" w:hint="eastAsia"/>
                <w:color w:val="000000"/>
              </w:rPr>
              <w:t>序号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黑体_GBK" w:eastAsia="方正黑体_GBK" w:hAnsi="方正黑体_GBK" w:cs="宋体" w:hint="eastAsia"/>
                <w:color w:val="000000"/>
              </w:rPr>
            </w:pPr>
            <w:r w:rsidRPr="00AC6B9E">
              <w:rPr>
                <w:rFonts w:ascii="方正黑体_GBK" w:eastAsia="方正黑体_GBK" w:hAnsi="方正黑体_GBK" w:cs="宋体" w:hint="eastAsia"/>
                <w:color w:val="000000"/>
              </w:rPr>
              <w:t>类型</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黑体_GBK" w:eastAsia="方正黑体_GBK" w:hAnsi="方正黑体_GBK" w:cs="宋体" w:hint="eastAsia"/>
                <w:color w:val="000000"/>
              </w:rPr>
            </w:pPr>
            <w:r w:rsidRPr="00AC6B9E">
              <w:rPr>
                <w:rFonts w:ascii="方正黑体_GBK" w:eastAsia="方正黑体_GBK" w:hAnsi="方正黑体_GBK" w:cs="宋体" w:hint="eastAsia"/>
                <w:color w:val="000000"/>
              </w:rPr>
              <w:t>课题名称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黑体_GBK" w:eastAsia="方正黑体_GBK" w:hAnsi="方正黑体_GBK" w:cs="宋体" w:hint="eastAsia"/>
                <w:color w:val="000000"/>
              </w:rPr>
            </w:pPr>
            <w:r w:rsidRPr="00AC6B9E">
              <w:rPr>
                <w:rFonts w:ascii="方正黑体_GBK" w:eastAsia="方正黑体_GBK" w:hAnsi="方正黑体_GBK" w:cs="宋体" w:hint="eastAsia"/>
                <w:color w:val="000000"/>
              </w:rPr>
              <w:t>申报单位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黑体_GBK" w:eastAsia="方正黑体_GBK" w:hAnsi="方正黑体_GBK" w:cs="宋体" w:hint="eastAsia"/>
                <w:color w:val="000000"/>
              </w:rPr>
            </w:pPr>
            <w:r w:rsidRPr="00AC6B9E">
              <w:rPr>
                <w:rFonts w:ascii="方正黑体_GBK" w:eastAsia="方正黑体_GBK" w:hAnsi="方正黑体_GBK" w:cs="宋体" w:hint="eastAsia"/>
                <w:color w:val="000000"/>
              </w:rPr>
              <w:t>申报人</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1</w:t>
            </w:r>
          </w:p>
        </w:tc>
        <w:tc>
          <w:tcPr>
            <w:tcW w:w="85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AC6B9E" w:rsidRPr="00AC6B9E" w:rsidRDefault="00AC6B9E" w:rsidP="00AC6B9E">
            <w:pPr>
              <w:widowControl/>
              <w:jc w:val="center"/>
              <w:rPr>
                <w:rFonts w:ascii="方正黑体_GBK" w:eastAsia="方正黑体_GBK" w:hAnsi="方正黑体_GBK" w:cs="宋体"/>
                <w:color w:val="000000"/>
              </w:rPr>
            </w:pPr>
            <w:r w:rsidRPr="00AC6B9E">
              <w:rPr>
                <w:rFonts w:ascii="方正黑体_GBK" w:eastAsia="方正黑体_GBK" w:hAnsi="方正黑体_GBK" w:cs="宋体" w:hint="eastAsia"/>
                <w:color w:val="000000"/>
              </w:rPr>
              <w:t>理论研究类</w:t>
            </w:r>
          </w:p>
        </w:tc>
        <w:tc>
          <w:tcPr>
            <w:tcW w:w="8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人民政协作为坚持和加强党对各项工作领导的重要阵地研究</w:t>
            </w: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南京师范大学</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钱再见</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2</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仿宋_GBK" w:eastAsia="方正仿宋_GBK" w:hAnsi="方正仿宋_GBK" w:cs="宋体"/>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镇江市政协</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李  健</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3</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人民政协作为在共同思想政治基础上化解矛盾和凝聚共识的重要渠道研究</w:t>
            </w: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苏州市政协</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周伟强</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4</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 xml:space="preserve"> 凝聚共识的内涵、机理及评价体系研究</w:t>
            </w: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南京师范大学</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吴  静</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5</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人民政协和我国新型政党制度的特色优势研究</w:t>
            </w: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南京大学</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张凤阳</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6</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仿宋_GBK" w:eastAsia="方正仿宋_GBK" w:hAnsi="方正仿宋_GBK" w:cs="宋体"/>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南京师范大学</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proofErr w:type="gramStart"/>
            <w:r w:rsidRPr="00AC6B9E">
              <w:rPr>
                <w:rFonts w:ascii="方正仿宋_GBK" w:eastAsia="方正仿宋_GBK" w:hAnsi="方正仿宋_GBK" w:cs="宋体" w:hint="eastAsia"/>
                <w:color w:val="000000"/>
                <w:sz w:val="24"/>
                <w:szCs w:val="24"/>
              </w:rPr>
              <w:t>李前进</w:t>
            </w:r>
            <w:proofErr w:type="gramEnd"/>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7</w:t>
            </w:r>
          </w:p>
        </w:tc>
        <w:tc>
          <w:tcPr>
            <w:tcW w:w="85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AC6B9E" w:rsidRPr="00AC6B9E" w:rsidRDefault="00AC6B9E" w:rsidP="00AC6B9E">
            <w:pPr>
              <w:widowControl/>
              <w:jc w:val="center"/>
              <w:rPr>
                <w:rFonts w:ascii="方正黑体_GBK" w:eastAsia="方正黑体_GBK" w:hAnsi="方正黑体_GBK" w:cs="宋体"/>
                <w:color w:val="000000"/>
              </w:rPr>
            </w:pPr>
            <w:r w:rsidRPr="00AC6B9E">
              <w:rPr>
                <w:rFonts w:ascii="方正黑体_GBK" w:eastAsia="方正黑体_GBK" w:hAnsi="方正黑体_GBK" w:cs="宋体" w:hint="eastAsia"/>
                <w:color w:val="000000"/>
              </w:rPr>
              <w:t>工作实践类</w:t>
            </w:r>
          </w:p>
        </w:tc>
        <w:tc>
          <w:tcPr>
            <w:tcW w:w="8364"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“有事好商量”协商议事工作质</w:t>
            </w:r>
            <w:proofErr w:type="gramStart"/>
            <w:r w:rsidRPr="00AC6B9E">
              <w:rPr>
                <w:rFonts w:ascii="方正仿宋_GBK" w:eastAsia="方正仿宋_GBK" w:hAnsi="方正仿宋_GBK" w:cs="宋体" w:hint="eastAsia"/>
                <w:color w:val="000000"/>
                <w:sz w:val="24"/>
                <w:szCs w:val="24"/>
              </w:rPr>
              <w:t>效评价</w:t>
            </w:r>
            <w:proofErr w:type="gramEnd"/>
            <w:r w:rsidRPr="00AC6B9E">
              <w:rPr>
                <w:rFonts w:ascii="方正仿宋_GBK" w:eastAsia="方正仿宋_GBK" w:hAnsi="方正仿宋_GBK" w:cs="宋体" w:hint="eastAsia"/>
                <w:color w:val="000000"/>
                <w:sz w:val="24"/>
                <w:szCs w:val="24"/>
              </w:rPr>
              <w:t>制度机制研究</w:t>
            </w: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镇江市政协</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陆海燕</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8</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 xml:space="preserve"> “有事好商量”协商议事与政协履职互促互进研究</w:t>
            </w: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南通市政协</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黄巍东</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9</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政协委员更好联系和服务界别群众研究</w:t>
            </w: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致公党江苏省委</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米其智</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10</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发挥中共党员委员先锋模范作用研究</w:t>
            </w: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扬州市政协</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陈  扬</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11</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完善多层次联络服务委员制度研究</w:t>
            </w: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宿迁市政协</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王  益</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12</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政协凝聚共识平台载体研究</w:t>
            </w: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南京邮电大学</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proofErr w:type="gramStart"/>
            <w:r w:rsidRPr="00AC6B9E">
              <w:rPr>
                <w:rFonts w:ascii="方正仿宋_GBK" w:eastAsia="方正仿宋_GBK" w:hAnsi="方正仿宋_GBK" w:cs="宋体" w:hint="eastAsia"/>
                <w:color w:val="000000"/>
                <w:sz w:val="24"/>
                <w:szCs w:val="24"/>
              </w:rPr>
              <w:t>汪胡青</w:t>
            </w:r>
            <w:proofErr w:type="gramEnd"/>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13</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仿宋_GBK" w:eastAsia="方正仿宋_GBK" w:hAnsi="方正仿宋_GBK" w:cs="宋体"/>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淮安市政协</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proofErr w:type="gramStart"/>
            <w:r w:rsidRPr="00AC6B9E">
              <w:rPr>
                <w:rFonts w:ascii="方正仿宋_GBK" w:eastAsia="方正仿宋_GBK" w:hAnsi="方正仿宋_GBK" w:cs="宋体" w:hint="eastAsia"/>
                <w:color w:val="000000"/>
                <w:sz w:val="24"/>
                <w:szCs w:val="24"/>
              </w:rPr>
              <w:t>戚寿余</w:t>
            </w:r>
            <w:proofErr w:type="gramEnd"/>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14</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新时代加强和改进市县政协工作研究</w:t>
            </w: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徐州市政协</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王安顺</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15</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仿宋_GBK" w:eastAsia="方正仿宋_GBK" w:hAnsi="方正仿宋_GBK" w:cs="宋体"/>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常州市政协</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白云萍</w:t>
            </w:r>
          </w:p>
        </w:tc>
      </w:tr>
      <w:tr w:rsidR="00BC3791" w:rsidRPr="00AC6B9E" w:rsidTr="00BC3791">
        <w:trPr>
          <w:trHeight w:hRule="exact" w:val="454"/>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Times New Roman" w:eastAsia="等线" w:hAnsi="Times New Roman" w:cs="Times New Roman" w:hint="eastAsia"/>
                <w:color w:val="000000"/>
                <w:sz w:val="24"/>
                <w:szCs w:val="24"/>
              </w:rPr>
            </w:pPr>
            <w:r w:rsidRPr="00AC6B9E">
              <w:rPr>
                <w:rFonts w:ascii="Times New Roman" w:eastAsia="等线" w:hAnsi="Times New Roman" w:cs="Times New Roman"/>
                <w:color w:val="000000"/>
                <w:sz w:val="24"/>
                <w:szCs w:val="24"/>
              </w:rPr>
              <w:t>16</w:t>
            </w:r>
          </w:p>
        </w:tc>
        <w:tc>
          <w:tcPr>
            <w:tcW w:w="850"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黑体_GBK" w:eastAsia="方正黑体_GBK" w:hAnsi="方正黑体_GBK" w:cs="宋体"/>
                <w:color w:val="000000"/>
                <w:sz w:val="24"/>
                <w:szCs w:val="24"/>
              </w:rPr>
            </w:pPr>
          </w:p>
        </w:tc>
        <w:tc>
          <w:tcPr>
            <w:tcW w:w="8364" w:type="dxa"/>
            <w:vMerge/>
            <w:tcBorders>
              <w:top w:val="nil"/>
              <w:left w:val="single" w:sz="4" w:space="0" w:color="auto"/>
              <w:bottom w:val="single" w:sz="4" w:space="0" w:color="auto"/>
              <w:right w:val="single" w:sz="4" w:space="0" w:color="auto"/>
            </w:tcBorders>
            <w:vAlign w:val="center"/>
            <w:hideMark/>
          </w:tcPr>
          <w:p w:rsidR="00AC6B9E" w:rsidRPr="00AC6B9E" w:rsidRDefault="00AC6B9E" w:rsidP="00AC6B9E">
            <w:pPr>
              <w:widowControl/>
              <w:jc w:val="left"/>
              <w:rPr>
                <w:rFonts w:ascii="方正仿宋_GBK" w:eastAsia="方正仿宋_GBK" w:hAnsi="方正仿宋_GBK" w:cs="宋体"/>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color w:val="000000"/>
                <w:sz w:val="24"/>
                <w:szCs w:val="24"/>
              </w:rPr>
            </w:pPr>
            <w:r w:rsidRPr="00AC6B9E">
              <w:rPr>
                <w:rFonts w:ascii="方正仿宋_GBK" w:eastAsia="方正仿宋_GBK" w:hAnsi="方正仿宋_GBK" w:cs="宋体" w:hint="eastAsia"/>
                <w:color w:val="000000"/>
                <w:sz w:val="24"/>
                <w:szCs w:val="24"/>
              </w:rPr>
              <w:t>盐城市政协</w:t>
            </w:r>
          </w:p>
        </w:tc>
        <w:tc>
          <w:tcPr>
            <w:tcW w:w="1701" w:type="dxa"/>
            <w:tcBorders>
              <w:top w:val="nil"/>
              <w:left w:val="nil"/>
              <w:bottom w:val="single" w:sz="4" w:space="0" w:color="auto"/>
              <w:right w:val="single" w:sz="4" w:space="0" w:color="auto"/>
            </w:tcBorders>
            <w:shd w:val="clear" w:color="auto" w:fill="auto"/>
            <w:noWrap/>
            <w:vAlign w:val="center"/>
            <w:hideMark/>
          </w:tcPr>
          <w:p w:rsidR="00AC6B9E" w:rsidRPr="00AC6B9E" w:rsidRDefault="00AC6B9E" w:rsidP="00AC6B9E">
            <w:pPr>
              <w:widowControl/>
              <w:jc w:val="center"/>
              <w:rPr>
                <w:rFonts w:ascii="方正仿宋_GBK" w:eastAsia="方正仿宋_GBK" w:hAnsi="方正仿宋_GBK" w:cs="宋体" w:hint="eastAsia"/>
                <w:color w:val="000000"/>
                <w:sz w:val="24"/>
                <w:szCs w:val="24"/>
              </w:rPr>
            </w:pPr>
            <w:r w:rsidRPr="00AC6B9E">
              <w:rPr>
                <w:rFonts w:ascii="方正仿宋_GBK" w:eastAsia="方正仿宋_GBK" w:hAnsi="方正仿宋_GBK" w:cs="宋体" w:hint="eastAsia"/>
                <w:color w:val="000000"/>
                <w:sz w:val="24"/>
                <w:szCs w:val="24"/>
              </w:rPr>
              <w:t>陈红红</w:t>
            </w:r>
          </w:p>
        </w:tc>
      </w:tr>
    </w:tbl>
    <w:p w:rsidR="002B5D2C" w:rsidRPr="00AC6B9E" w:rsidRDefault="00AC6B9E" w:rsidP="00BC3791">
      <w:pPr>
        <w:spacing w:line="320" w:lineRule="exact"/>
        <w:ind w:firstLineChars="400" w:firstLine="960"/>
        <w:jc w:val="left"/>
        <w:rPr>
          <w:rFonts w:ascii="Times New Roman" w:hAnsi="Times New Roman" w:cs="Times New Roman"/>
          <w:color w:val="000000" w:themeColor="text1"/>
        </w:rPr>
      </w:pPr>
      <w:r w:rsidRPr="00BC3791">
        <w:rPr>
          <w:rFonts w:ascii="方正楷体_GBK" w:eastAsia="方正楷体_GBK" w:hAnsi="方正楷体_GBK" w:cs="宋体" w:hint="eastAsia"/>
          <w:color w:val="000000"/>
          <w:sz w:val="24"/>
          <w:szCs w:val="24"/>
        </w:rPr>
        <w:t>注：</w:t>
      </w:r>
      <w:r w:rsidRPr="00AC6B9E">
        <w:rPr>
          <w:rFonts w:ascii="方正楷体_GBK" w:eastAsia="方正楷体_GBK" w:hAnsi="方正楷体_GBK" w:cs="宋体" w:hint="eastAsia"/>
          <w:color w:val="000000"/>
          <w:sz w:val="24"/>
          <w:szCs w:val="24"/>
        </w:rPr>
        <w:t>每个研究方向参照国家、省社科基金项目规定，根据申报数量与质量确立1至2</w:t>
      </w:r>
      <w:r w:rsidR="00BC3791">
        <w:rPr>
          <w:rFonts w:ascii="方正楷体_GBK" w:eastAsia="方正楷体_GBK" w:hAnsi="方正楷体_GBK" w:cs="宋体" w:hint="eastAsia"/>
          <w:color w:val="000000"/>
          <w:sz w:val="24"/>
          <w:szCs w:val="24"/>
        </w:rPr>
        <w:t>项中标课题。</w:t>
      </w:r>
    </w:p>
    <w:sectPr w:rsidR="002B5D2C" w:rsidRPr="00AC6B9E" w:rsidSect="00116764">
      <w:footerReference w:type="default" r:id="rId7"/>
      <w:pgSz w:w="16838" w:h="11906" w:orient="landscape"/>
      <w:pgMar w:top="907" w:right="1021" w:bottom="1021" w:left="1021" w:header="567" w:footer="624"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5C" w:rsidRDefault="00D2305C" w:rsidP="00116764">
      <w:r>
        <w:separator/>
      </w:r>
    </w:p>
  </w:endnote>
  <w:endnote w:type="continuationSeparator" w:id="0">
    <w:p w:rsidR="00D2305C" w:rsidRDefault="00D2305C" w:rsidP="001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方正黑体_GBK">
    <w:panose1 w:val="02000000000000000000"/>
    <w:charset w:val="86"/>
    <w:family w:val="auto"/>
    <w:pitch w:val="variable"/>
    <w:sig w:usb0="A00002BF" w:usb1="38CF7CFA" w:usb2="00082016" w:usb3="00000000" w:csb0="00040001" w:csb1="00000000"/>
  </w:font>
  <w:font w:name="方正小标宋_GBK">
    <w:panose1 w:val="02000000000000000000"/>
    <w:charset w:val="86"/>
    <w:family w:val="auto"/>
    <w:pitch w:val="variable"/>
    <w:sig w:usb0="A00002BF" w:usb1="38CF7CFA" w:usb2="00082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2000000000000000000"/>
    <w:charset w:val="86"/>
    <w:family w:val="auto"/>
    <w:pitch w:val="variable"/>
    <w:sig w:usb0="A00002BF" w:usb1="38CF7CFA" w:usb2="00082016" w:usb3="00000000" w:csb0="00040001" w:csb1="00000000"/>
  </w:font>
  <w:font w:name="方正楷体_GBK">
    <w:panose1 w:val="02000000000000000000"/>
    <w:charset w:val="86"/>
    <w:family w:val="auto"/>
    <w:pitch w:val="variable"/>
    <w:sig w:usb0="A00002BF" w:usb1="38CF7CFA" w:usb2="00082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00683"/>
      <w:docPartObj>
        <w:docPartGallery w:val="Page Numbers (Bottom of Page)"/>
        <w:docPartUnique/>
      </w:docPartObj>
    </w:sdtPr>
    <w:sdtEndPr>
      <w:rPr>
        <w:sz w:val="24"/>
        <w:szCs w:val="24"/>
      </w:rPr>
    </w:sdtEndPr>
    <w:sdtContent>
      <w:p w:rsidR="00116764" w:rsidRPr="00116764" w:rsidRDefault="00116764" w:rsidP="00116764">
        <w:pPr>
          <w:pStyle w:val="a8"/>
          <w:jc w:val="center"/>
          <w:rPr>
            <w:sz w:val="24"/>
            <w:szCs w:val="24"/>
          </w:rPr>
        </w:pPr>
        <w:r w:rsidRPr="00116764">
          <w:rPr>
            <w:sz w:val="24"/>
            <w:szCs w:val="24"/>
          </w:rPr>
          <w:fldChar w:fldCharType="begin"/>
        </w:r>
        <w:r w:rsidRPr="00116764">
          <w:rPr>
            <w:sz w:val="24"/>
            <w:szCs w:val="24"/>
          </w:rPr>
          <w:instrText>PAGE   \* MERGEFORMAT</w:instrText>
        </w:r>
        <w:r w:rsidRPr="00116764">
          <w:rPr>
            <w:sz w:val="24"/>
            <w:szCs w:val="24"/>
          </w:rPr>
          <w:fldChar w:fldCharType="separate"/>
        </w:r>
        <w:r w:rsidR="00BC6EC3" w:rsidRPr="00BC6EC3">
          <w:rPr>
            <w:noProof/>
            <w:sz w:val="24"/>
            <w:szCs w:val="24"/>
            <w:lang w:val="zh-CN"/>
          </w:rPr>
          <w:t>1</w:t>
        </w:r>
        <w:r w:rsidRPr="00116764">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5C" w:rsidRDefault="00D2305C" w:rsidP="00116764">
      <w:r>
        <w:separator/>
      </w:r>
    </w:p>
  </w:footnote>
  <w:footnote w:type="continuationSeparator" w:id="0">
    <w:p w:rsidR="00D2305C" w:rsidRDefault="00D2305C" w:rsidP="001167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6705C"/>
    <w:multiLevelType w:val="hybridMultilevel"/>
    <w:tmpl w:val="6C240836"/>
    <w:lvl w:ilvl="0" w:tplc="C3205D9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AB"/>
    <w:rsid w:val="000172C0"/>
    <w:rsid w:val="00096A6F"/>
    <w:rsid w:val="00116764"/>
    <w:rsid w:val="001571D3"/>
    <w:rsid w:val="001C5EB6"/>
    <w:rsid w:val="00277A9C"/>
    <w:rsid w:val="002B5D2C"/>
    <w:rsid w:val="002F1B93"/>
    <w:rsid w:val="00311CEE"/>
    <w:rsid w:val="0031289D"/>
    <w:rsid w:val="00342463"/>
    <w:rsid w:val="00440332"/>
    <w:rsid w:val="004673C3"/>
    <w:rsid w:val="00493F6A"/>
    <w:rsid w:val="004C0617"/>
    <w:rsid w:val="004E4F66"/>
    <w:rsid w:val="004E7506"/>
    <w:rsid w:val="005101D1"/>
    <w:rsid w:val="00601E2C"/>
    <w:rsid w:val="00611937"/>
    <w:rsid w:val="006138F1"/>
    <w:rsid w:val="006C2F78"/>
    <w:rsid w:val="006E1465"/>
    <w:rsid w:val="006E765B"/>
    <w:rsid w:val="007F4CED"/>
    <w:rsid w:val="007F780C"/>
    <w:rsid w:val="00823071"/>
    <w:rsid w:val="00827EA7"/>
    <w:rsid w:val="00834515"/>
    <w:rsid w:val="008B56E5"/>
    <w:rsid w:val="00917901"/>
    <w:rsid w:val="009427F8"/>
    <w:rsid w:val="009751F5"/>
    <w:rsid w:val="009D6E37"/>
    <w:rsid w:val="00A0728B"/>
    <w:rsid w:val="00A67FEC"/>
    <w:rsid w:val="00AC6B9E"/>
    <w:rsid w:val="00B13E18"/>
    <w:rsid w:val="00B34BE6"/>
    <w:rsid w:val="00B6038F"/>
    <w:rsid w:val="00B62B7B"/>
    <w:rsid w:val="00B80098"/>
    <w:rsid w:val="00BC3791"/>
    <w:rsid w:val="00BC6EC3"/>
    <w:rsid w:val="00BD0A3A"/>
    <w:rsid w:val="00BE798A"/>
    <w:rsid w:val="00C278CD"/>
    <w:rsid w:val="00C63FAB"/>
    <w:rsid w:val="00C84062"/>
    <w:rsid w:val="00CB6EEB"/>
    <w:rsid w:val="00CC599D"/>
    <w:rsid w:val="00CD0098"/>
    <w:rsid w:val="00CF362E"/>
    <w:rsid w:val="00D2305C"/>
    <w:rsid w:val="00DA4152"/>
    <w:rsid w:val="00DE37A8"/>
    <w:rsid w:val="00EF5EA9"/>
    <w:rsid w:val="00F14A1F"/>
    <w:rsid w:val="00FD245E"/>
    <w:rsid w:val="00FE4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7F15"/>
  <w15:chartTrackingRefBased/>
  <w15:docId w15:val="{880DE280-429F-48EC-B02C-0282F1E5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Arial"/>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17901"/>
    <w:pPr>
      <w:keepNext/>
      <w:keepLines/>
      <w:spacing w:before="60" w:after="60" w:line="580" w:lineRule="exact"/>
      <w:outlineLvl w:val="0"/>
    </w:pPr>
    <w:rPr>
      <w:rFonts w:eastAsia="黑体"/>
      <w:b/>
      <w:bCs/>
      <w:kern w:val="44"/>
      <w:sz w:val="32"/>
      <w:szCs w:val="44"/>
    </w:rPr>
  </w:style>
  <w:style w:type="paragraph" w:styleId="2">
    <w:name w:val="heading 2"/>
    <w:basedOn w:val="a"/>
    <w:next w:val="a"/>
    <w:link w:val="20"/>
    <w:uiPriority w:val="9"/>
    <w:unhideWhenUsed/>
    <w:qFormat/>
    <w:rsid w:val="00917901"/>
    <w:pPr>
      <w:keepNext/>
      <w:keepLines/>
      <w:spacing w:before="40" w:after="40" w:line="580" w:lineRule="exact"/>
      <w:outlineLvl w:val="1"/>
    </w:pPr>
    <w:rPr>
      <w:rFonts w:asciiTheme="majorHAnsi" w:eastAsia="楷体_GB2312" w:hAnsiTheme="majorHAnsi" w:cstheme="majorBidi"/>
      <w:b/>
      <w:bCs/>
      <w:sz w:val="32"/>
      <w:szCs w:val="32"/>
    </w:rPr>
  </w:style>
  <w:style w:type="paragraph" w:styleId="3">
    <w:name w:val="heading 3"/>
    <w:basedOn w:val="a"/>
    <w:next w:val="a"/>
    <w:link w:val="30"/>
    <w:uiPriority w:val="9"/>
    <w:unhideWhenUsed/>
    <w:qFormat/>
    <w:rsid w:val="00BD0A3A"/>
    <w:pPr>
      <w:keepNext/>
      <w:keepLines/>
      <w:widowControl/>
      <w:spacing w:line="580" w:lineRule="exact"/>
      <w:jc w:val="lef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17901"/>
    <w:rPr>
      <w:rFonts w:eastAsia="黑体"/>
      <w:b/>
      <w:bCs/>
      <w:kern w:val="44"/>
      <w:sz w:val="32"/>
      <w:szCs w:val="44"/>
    </w:rPr>
  </w:style>
  <w:style w:type="character" w:customStyle="1" w:styleId="20">
    <w:name w:val="标题 2 字符"/>
    <w:basedOn w:val="a0"/>
    <w:link w:val="2"/>
    <w:uiPriority w:val="9"/>
    <w:rsid w:val="00917901"/>
    <w:rPr>
      <w:rFonts w:asciiTheme="majorHAnsi" w:eastAsia="楷体_GB2312" w:hAnsiTheme="majorHAnsi" w:cstheme="majorBidi"/>
      <w:b/>
      <w:bCs/>
      <w:sz w:val="32"/>
      <w:szCs w:val="32"/>
    </w:rPr>
  </w:style>
  <w:style w:type="character" w:customStyle="1" w:styleId="30">
    <w:name w:val="标题 3 字符"/>
    <w:basedOn w:val="a0"/>
    <w:link w:val="3"/>
    <w:uiPriority w:val="9"/>
    <w:rsid w:val="00BD0A3A"/>
    <w:rPr>
      <w:rFonts w:eastAsia="宋体"/>
      <w:b/>
      <w:bCs/>
      <w:sz w:val="32"/>
      <w:szCs w:val="32"/>
    </w:rPr>
  </w:style>
  <w:style w:type="paragraph" w:styleId="a3">
    <w:name w:val="List Paragraph"/>
    <w:basedOn w:val="a"/>
    <w:uiPriority w:val="34"/>
    <w:qFormat/>
    <w:rsid w:val="00B6038F"/>
    <w:pPr>
      <w:ind w:firstLineChars="200" w:firstLine="420"/>
    </w:pPr>
  </w:style>
  <w:style w:type="paragraph" w:styleId="a4">
    <w:name w:val="Balloon Text"/>
    <w:basedOn w:val="a"/>
    <w:link w:val="a5"/>
    <w:uiPriority w:val="99"/>
    <w:semiHidden/>
    <w:unhideWhenUsed/>
    <w:rsid w:val="00601E2C"/>
    <w:rPr>
      <w:sz w:val="18"/>
      <w:szCs w:val="18"/>
    </w:rPr>
  </w:style>
  <w:style w:type="character" w:customStyle="1" w:styleId="a5">
    <w:name w:val="批注框文本 字符"/>
    <w:basedOn w:val="a0"/>
    <w:link w:val="a4"/>
    <w:uiPriority w:val="99"/>
    <w:semiHidden/>
    <w:rsid w:val="00601E2C"/>
    <w:rPr>
      <w:sz w:val="18"/>
      <w:szCs w:val="18"/>
    </w:rPr>
  </w:style>
  <w:style w:type="paragraph" w:styleId="a6">
    <w:name w:val="header"/>
    <w:basedOn w:val="a"/>
    <w:link w:val="a7"/>
    <w:uiPriority w:val="99"/>
    <w:unhideWhenUsed/>
    <w:rsid w:val="0011676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16764"/>
    <w:rPr>
      <w:sz w:val="18"/>
      <w:szCs w:val="18"/>
    </w:rPr>
  </w:style>
  <w:style w:type="paragraph" w:styleId="a8">
    <w:name w:val="footer"/>
    <w:basedOn w:val="a"/>
    <w:link w:val="a9"/>
    <w:uiPriority w:val="99"/>
    <w:unhideWhenUsed/>
    <w:rsid w:val="00116764"/>
    <w:pPr>
      <w:tabs>
        <w:tab w:val="center" w:pos="4153"/>
        <w:tab w:val="right" w:pos="8306"/>
      </w:tabs>
      <w:snapToGrid w:val="0"/>
      <w:jc w:val="left"/>
    </w:pPr>
    <w:rPr>
      <w:sz w:val="18"/>
      <w:szCs w:val="18"/>
    </w:rPr>
  </w:style>
  <w:style w:type="character" w:customStyle="1" w:styleId="a9">
    <w:name w:val="页脚 字符"/>
    <w:basedOn w:val="a0"/>
    <w:link w:val="a8"/>
    <w:uiPriority w:val="99"/>
    <w:rsid w:val="001167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82649">
      <w:bodyDiv w:val="1"/>
      <w:marLeft w:val="0"/>
      <w:marRight w:val="0"/>
      <w:marTop w:val="0"/>
      <w:marBottom w:val="0"/>
      <w:divBdr>
        <w:top w:val="none" w:sz="0" w:space="0" w:color="auto"/>
        <w:left w:val="none" w:sz="0" w:space="0" w:color="auto"/>
        <w:bottom w:val="none" w:sz="0" w:space="0" w:color="auto"/>
        <w:right w:val="none" w:sz="0" w:space="0" w:color="auto"/>
      </w:divBdr>
    </w:div>
    <w:div w:id="18730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Company>DoubleOX</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xgmfly</dc:creator>
  <cp:keywords/>
  <dc:description/>
  <cp:lastModifiedBy>xgmfly</cp:lastModifiedBy>
  <cp:revision>3</cp:revision>
  <cp:lastPrinted>2021-06-21T07:59:00Z</cp:lastPrinted>
  <dcterms:created xsi:type="dcterms:W3CDTF">2021-06-21T08:18:00Z</dcterms:created>
  <dcterms:modified xsi:type="dcterms:W3CDTF">2021-06-21T08:18:00Z</dcterms:modified>
</cp:coreProperties>
</file>